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52FF3" w14:textId="1E4FB9B5" w:rsidR="00C208B3" w:rsidRPr="00C208B3" w:rsidRDefault="00822C32" w:rsidP="00C208B3">
      <w:pPr>
        <w:pStyle w:val="Heading2"/>
        <w:rPr>
          <w:color w:val="002060"/>
          <w:sz w:val="36"/>
          <w:szCs w:val="36"/>
        </w:rPr>
      </w:pPr>
      <w:bookmarkStart w:id="0" w:name="_Toc101611668"/>
      <w:r w:rsidRPr="00C208B3">
        <w:rPr>
          <w:color w:val="002060"/>
          <w:sz w:val="36"/>
          <w:szCs w:val="36"/>
        </w:rPr>
        <w:t>Chapter C</w:t>
      </w:r>
    </w:p>
    <w:p w14:paraId="4D7DDBF1" w14:textId="77BEADF9" w:rsidR="00822C32" w:rsidRPr="00C208B3" w:rsidRDefault="00822C32" w:rsidP="00C208B3">
      <w:pPr>
        <w:pStyle w:val="Heading2"/>
        <w:rPr>
          <w:color w:val="002060"/>
          <w:sz w:val="36"/>
          <w:szCs w:val="36"/>
        </w:rPr>
      </w:pPr>
      <w:r w:rsidRPr="00C208B3">
        <w:rPr>
          <w:color w:val="002060"/>
          <w:sz w:val="36"/>
          <w:szCs w:val="36"/>
        </w:rPr>
        <w:t>WHAT IF “HATE” IS A SYMPTOM, NOT THE DISEASE?</w:t>
      </w:r>
      <w:bookmarkEnd w:id="0"/>
    </w:p>
    <w:p w14:paraId="706B8E8E" w14:textId="77777777" w:rsidR="00822C32" w:rsidRDefault="00822C32" w:rsidP="00822C32"/>
    <w:p w14:paraId="6948CDE7" w14:textId="2E801B2D" w:rsidR="00822C32" w:rsidRPr="00990388" w:rsidRDefault="00C208B3" w:rsidP="00822C32">
      <w:pPr>
        <w:pStyle w:val="b-qt"/>
        <w:shd w:val="clear" w:color="auto" w:fill="FFFFFF"/>
        <w:spacing w:before="0" w:beforeAutospacing="0" w:after="225" w:afterAutospacing="0" w:line="555" w:lineRule="atLeast"/>
        <w:ind w:left="2160"/>
        <w:rPr>
          <w:rFonts w:asciiTheme="minorHAnsi" w:hAnsiTheme="minorHAnsi" w:cstheme="minorHAnsi"/>
          <w:color w:val="101010"/>
          <w:sz w:val="28"/>
          <w:szCs w:val="28"/>
        </w:rPr>
      </w:pPr>
      <w:r>
        <w:rPr>
          <w:rFonts w:asciiTheme="minorHAnsi" w:hAnsiTheme="minorHAnsi" w:cstheme="minorHAnsi"/>
          <w:color w:val="101010"/>
          <w:sz w:val="28"/>
          <w:szCs w:val="28"/>
        </w:rPr>
        <w:t>“</w:t>
      </w:r>
      <w:r w:rsidR="00822C32" w:rsidRPr="00990388">
        <w:rPr>
          <w:rFonts w:asciiTheme="minorHAnsi" w:hAnsiTheme="minorHAnsi" w:cstheme="minorHAnsi"/>
          <w:color w:val="101010"/>
          <w:sz w:val="28"/>
          <w:szCs w:val="28"/>
        </w:rPr>
        <w:t xml:space="preserve">Resentment is like drinking poison and </w:t>
      </w:r>
      <w:r w:rsidR="00822C32">
        <w:rPr>
          <w:rFonts w:asciiTheme="minorHAnsi" w:hAnsiTheme="minorHAnsi" w:cstheme="minorHAnsi"/>
          <w:color w:val="101010"/>
          <w:sz w:val="28"/>
          <w:szCs w:val="28"/>
        </w:rPr>
        <w:br/>
      </w:r>
      <w:r w:rsidR="00822C32" w:rsidRPr="00990388">
        <w:rPr>
          <w:rFonts w:asciiTheme="minorHAnsi" w:hAnsiTheme="minorHAnsi" w:cstheme="minorHAnsi"/>
          <w:color w:val="101010"/>
          <w:sz w:val="28"/>
          <w:szCs w:val="28"/>
        </w:rPr>
        <w:t>waiting for the other person to die.</w:t>
      </w:r>
      <w:r>
        <w:rPr>
          <w:rFonts w:asciiTheme="minorHAnsi" w:hAnsiTheme="minorHAnsi" w:cstheme="minorHAnsi"/>
          <w:color w:val="101010"/>
          <w:sz w:val="28"/>
          <w:szCs w:val="28"/>
        </w:rPr>
        <w:t>”</w:t>
      </w:r>
    </w:p>
    <w:p w14:paraId="290FFB8C" w14:textId="77777777" w:rsidR="00822C32" w:rsidRPr="00990388" w:rsidRDefault="00822C32" w:rsidP="00822C32">
      <w:pPr>
        <w:pStyle w:val="bqfqa"/>
        <w:shd w:val="clear" w:color="auto" w:fill="FFFFFF"/>
        <w:spacing w:before="0" w:beforeAutospacing="0" w:after="75" w:afterAutospacing="0"/>
        <w:ind w:left="2160"/>
        <w:rPr>
          <w:rFonts w:asciiTheme="minorHAnsi" w:hAnsiTheme="minorHAnsi" w:cstheme="minorHAnsi"/>
          <w:sz w:val="28"/>
          <w:szCs w:val="28"/>
        </w:rPr>
      </w:pPr>
      <w:r>
        <w:rPr>
          <w:rFonts w:asciiTheme="minorHAnsi" w:hAnsiTheme="minorHAnsi" w:cstheme="minorHAnsi"/>
          <w:sz w:val="28"/>
          <w:szCs w:val="28"/>
        </w:rPr>
        <w:t xml:space="preserve">                                 --</w:t>
      </w:r>
      <w:hyperlink r:id="rId7" w:history="1">
        <w:r w:rsidRPr="00990388">
          <w:rPr>
            <w:rStyle w:val="Hyperlink"/>
            <w:rFonts w:asciiTheme="minorHAnsi" w:eastAsiaTheme="majorEastAsia" w:hAnsiTheme="minorHAnsi" w:cstheme="minorHAnsi"/>
            <w:sz w:val="28"/>
            <w:szCs w:val="28"/>
          </w:rPr>
          <w:t>Saint Augustine</w:t>
        </w:r>
      </w:hyperlink>
    </w:p>
    <w:p w14:paraId="65320186" w14:textId="77777777" w:rsidR="00822C32" w:rsidRPr="0057188C" w:rsidRDefault="00822C32" w:rsidP="00822C32"/>
    <w:p w14:paraId="4A715F73" w14:textId="77777777" w:rsidR="00822C32" w:rsidRPr="00822C32" w:rsidRDefault="00822C32" w:rsidP="00822C32">
      <w:pPr>
        <w:spacing w:line="480" w:lineRule="auto"/>
        <w:rPr>
          <w:rFonts w:ascii="Arial" w:hAnsi="Arial" w:cs="Arial"/>
          <w:bCs/>
          <w:szCs w:val="26"/>
        </w:rPr>
      </w:pPr>
      <w:r>
        <w:rPr>
          <w:bCs/>
          <w:szCs w:val="26"/>
        </w:rPr>
        <w:br/>
      </w:r>
      <w:r w:rsidRPr="00822C32">
        <w:rPr>
          <w:rFonts w:ascii="Arial" w:hAnsi="Arial" w:cs="Arial"/>
          <w:bCs/>
          <w:szCs w:val="26"/>
        </w:rPr>
        <w:t xml:space="preserve">We usually sense hate in the acts and attitudes of bigots. Why else would they do or say hateful things? Thus, much of the emotion of hate is </w:t>
      </w:r>
      <w:r w:rsidRPr="00822C32">
        <w:rPr>
          <w:rFonts w:ascii="Arial" w:hAnsi="Arial" w:cs="Arial"/>
          <w:bCs/>
          <w:szCs w:val="26"/>
          <w:u w:val="single"/>
        </w:rPr>
        <w:t>assumed</w:t>
      </w:r>
      <w:r w:rsidRPr="00822C32">
        <w:rPr>
          <w:rFonts w:ascii="Arial" w:hAnsi="Arial" w:cs="Arial"/>
          <w:bCs/>
          <w:szCs w:val="26"/>
        </w:rPr>
        <w:t xml:space="preserve"> when people do or say insulting or degrading things. After all, people are responsible for what they say and do. Still, the attitude, the emotion of hate is not always actually visible or verifiable. Sometimes a “hateful act” is more about “acting out” generally, than about the specific target of the act. Perhaps they are just doing what someone else asked them to do, not fully considering the consequences. This is certainly not an unusual situation. </w:t>
      </w:r>
      <w:r w:rsidRPr="00822C32">
        <w:rPr>
          <w:rFonts w:ascii="Arial" w:hAnsi="Arial" w:cs="Arial"/>
          <w:bCs/>
          <w:szCs w:val="26"/>
        </w:rPr>
        <w:br/>
      </w:r>
      <w:r w:rsidRPr="00822C32">
        <w:rPr>
          <w:rFonts w:ascii="Arial" w:hAnsi="Arial" w:cs="Arial"/>
          <w:bCs/>
          <w:szCs w:val="26"/>
        </w:rPr>
        <w:br/>
        <w:t xml:space="preserve">Perhaps they are acting out unconscious urges. So the bias may be implicit, not conscious, which doesn’t sound like “hate” even if it feels hateful. As a society, we need to set boundaries on how one expresses even implicit bias, but there is a difference between a nudge towards awareness and a prison sentence. However, one can make a strong case for RESENTMENT and FEAR being at the root of hate. To be sure, fear is at the root of much unwarranted police violence. It can be seen in conditioned racialized fear that transcends normal standards of conduct and use of force (Nordell, Magee). </w:t>
      </w:r>
    </w:p>
    <w:p w14:paraId="7A679C96" w14:textId="77777777" w:rsidR="00822C32" w:rsidRPr="00822C32" w:rsidRDefault="00822C32" w:rsidP="00822C32">
      <w:pPr>
        <w:spacing w:line="480" w:lineRule="auto"/>
        <w:rPr>
          <w:rFonts w:ascii="Arial" w:hAnsi="Arial" w:cs="Arial"/>
          <w:bCs/>
          <w:szCs w:val="26"/>
        </w:rPr>
      </w:pPr>
    </w:p>
    <w:p w14:paraId="73EF1037" w14:textId="77777777" w:rsidR="00822C32" w:rsidRPr="00822C32" w:rsidRDefault="00822C32" w:rsidP="00822C32">
      <w:pPr>
        <w:spacing w:line="480" w:lineRule="auto"/>
        <w:rPr>
          <w:rFonts w:ascii="Arial" w:hAnsi="Arial" w:cs="Arial"/>
          <w:bCs/>
          <w:szCs w:val="26"/>
        </w:rPr>
      </w:pPr>
      <w:r w:rsidRPr="00822C32">
        <w:rPr>
          <w:rFonts w:ascii="Arial" w:hAnsi="Arial" w:cs="Arial"/>
          <w:bCs/>
          <w:szCs w:val="26"/>
        </w:rPr>
        <w:t xml:space="preserve">It is not the job of persecuted minority groups to tease apart the sources of the hate they experience as violence, bigotry, discrimination, oppression, and terrorism. That is something with which society must come to grips. It makes good sense for the victims of oppression to feel hated, even if the oppressor they see has no idea what is going on. Behavior can be criminalized, while thoughts, alone, cannot. Despite what some advocates are saying today, hate and bigotry are not crimes. </w:t>
      </w:r>
    </w:p>
    <w:p w14:paraId="354DF336" w14:textId="77777777" w:rsidR="00822C32" w:rsidRPr="00822C32" w:rsidRDefault="00822C32" w:rsidP="00822C32">
      <w:pPr>
        <w:spacing w:line="480" w:lineRule="auto"/>
        <w:rPr>
          <w:rFonts w:ascii="Arial" w:hAnsi="Arial" w:cs="Arial"/>
          <w:bCs/>
          <w:szCs w:val="26"/>
        </w:rPr>
      </w:pPr>
    </w:p>
    <w:p w14:paraId="0A782162" w14:textId="77777777" w:rsidR="00822C32" w:rsidRPr="00822C32" w:rsidRDefault="00822C32" w:rsidP="00822C32">
      <w:pPr>
        <w:spacing w:line="480" w:lineRule="auto"/>
        <w:rPr>
          <w:rFonts w:ascii="Arial" w:hAnsi="Arial" w:cs="Arial"/>
          <w:bCs/>
          <w:szCs w:val="26"/>
        </w:rPr>
      </w:pPr>
      <w:r w:rsidRPr="00822C32">
        <w:rPr>
          <w:rFonts w:ascii="Arial" w:hAnsi="Arial" w:cs="Arial"/>
          <w:bCs/>
          <w:szCs w:val="26"/>
        </w:rPr>
        <w:t>Our system of jurisprudence, and our very Constitution, require action and intent for something to be a crime. Even a conspiracy charge requires some action in furtherance of the crime. These legal requirements can become a real quagmire when we address the issue of “hate crimes.” We need thoughtful definitions in order to bridge the gaps between law and the ways people define “justice.” After all, the most common victims of denials of due process and constitutional rights have been people from the very minority groups which today seek equality and equity. It is questionable to use the kinds of unethical and unlawful mechanisms that have oppressed one group to then suppress those who are expressing biased perspectives.</w:t>
      </w:r>
      <w:r w:rsidRPr="00822C32">
        <w:rPr>
          <w:rFonts w:ascii="Arial" w:hAnsi="Arial" w:cs="Arial"/>
          <w:bCs/>
          <w:szCs w:val="26"/>
        </w:rPr>
        <w:br/>
      </w:r>
    </w:p>
    <w:p w14:paraId="3DA55A02" w14:textId="77777777" w:rsidR="00822C32" w:rsidRPr="00822C32" w:rsidRDefault="00822C32" w:rsidP="00822C32">
      <w:pPr>
        <w:spacing w:line="480" w:lineRule="auto"/>
        <w:rPr>
          <w:rFonts w:ascii="Arial" w:hAnsi="Arial" w:cs="Arial"/>
          <w:bCs/>
          <w:szCs w:val="26"/>
        </w:rPr>
      </w:pPr>
      <w:r w:rsidRPr="00822C32">
        <w:rPr>
          <w:rFonts w:ascii="Arial" w:hAnsi="Arial" w:cs="Arial"/>
          <w:bCs/>
          <w:szCs w:val="26"/>
        </w:rPr>
        <w:t>When it is clear, by objective evidence, that hate for members of a specific minority group was a cause of a crime, we are in fairly safe territory. However, our legal system is not really constructed to operate in this realm, where bigotry can be more difficult to establish as motivating a particular criminal act. What, then, is the difference between a crime based in hate and a crime based in fear? Anglo-American jurisprudence is not well equipped for that task. It is a work in progress, painfully slow progress at times. But there is some progress.</w:t>
      </w:r>
    </w:p>
    <w:p w14:paraId="0B7ADB6B" w14:textId="77777777" w:rsidR="00822C32" w:rsidRPr="00822C32" w:rsidRDefault="00822C32" w:rsidP="00822C32">
      <w:pPr>
        <w:pStyle w:val="NormalWeb"/>
        <w:shd w:val="clear" w:color="auto" w:fill="FFFFFF"/>
        <w:spacing w:line="360" w:lineRule="auto"/>
        <w:ind w:left="720"/>
        <w:rPr>
          <w:rFonts w:ascii="Arial" w:hAnsi="Arial" w:cs="Arial"/>
          <w:color w:val="4A4A4A"/>
          <w:sz w:val="26"/>
          <w:szCs w:val="26"/>
        </w:rPr>
      </w:pPr>
      <w:r w:rsidRPr="00822C32">
        <w:rPr>
          <w:rFonts w:ascii="Arial" w:hAnsi="Arial" w:cs="Arial"/>
          <w:bCs/>
          <w:sz w:val="26"/>
          <w:szCs w:val="26"/>
        </w:rPr>
        <w:t xml:space="preserve">According to the Office of the Attorney General of the District of Columbia, </w:t>
      </w:r>
      <w:r w:rsidRPr="00822C32">
        <w:rPr>
          <w:rFonts w:ascii="Arial" w:hAnsi="Arial" w:cs="Arial"/>
          <w:bCs/>
          <w:sz w:val="26"/>
          <w:szCs w:val="26"/>
        </w:rPr>
        <w:br/>
      </w:r>
      <w:r w:rsidRPr="00822C32">
        <w:rPr>
          <w:rFonts w:ascii="Arial" w:hAnsi="Arial" w:cs="Arial"/>
          <w:bCs/>
          <w:sz w:val="26"/>
          <w:szCs w:val="26"/>
        </w:rPr>
        <w:br/>
        <w:t>“</w:t>
      </w:r>
      <w:r w:rsidRPr="00822C32">
        <w:rPr>
          <w:rFonts w:ascii="Arial" w:hAnsi="Arial" w:cs="Arial"/>
          <w:color w:val="4A4A4A"/>
          <w:sz w:val="26"/>
          <w:szCs w:val="26"/>
        </w:rPr>
        <w:t xml:space="preserve">Hate generally starts with bias that is left unchecked. Bias is a preference </w:t>
      </w:r>
      <w:r w:rsidRPr="00822C32">
        <w:rPr>
          <w:rFonts w:ascii="Arial" w:hAnsi="Arial" w:cs="Arial"/>
          <w:color w:val="4A4A4A"/>
          <w:sz w:val="26"/>
          <w:szCs w:val="26"/>
        </w:rPr>
        <w:br/>
        <w:t xml:space="preserve">either for or against an individual or group that affects someone’s ability </w:t>
      </w:r>
      <w:r w:rsidRPr="00822C32">
        <w:rPr>
          <w:rFonts w:ascii="Arial" w:hAnsi="Arial" w:cs="Arial"/>
          <w:color w:val="4A4A4A"/>
          <w:sz w:val="26"/>
          <w:szCs w:val="26"/>
        </w:rPr>
        <w:br/>
        <w:t xml:space="preserve">to judge fairly. When that bias is left unchecked, it becomes normalized </w:t>
      </w:r>
      <w:r w:rsidRPr="00822C32">
        <w:rPr>
          <w:rFonts w:ascii="Arial" w:hAnsi="Arial" w:cs="Arial"/>
          <w:color w:val="4A4A4A"/>
          <w:sz w:val="26"/>
          <w:szCs w:val="26"/>
        </w:rPr>
        <w:br/>
        <w:t xml:space="preserve">or accepted, and may even escalate into violence. When hate manifests </w:t>
      </w:r>
      <w:r w:rsidRPr="00822C32">
        <w:rPr>
          <w:rFonts w:ascii="Arial" w:hAnsi="Arial" w:cs="Arial"/>
          <w:color w:val="4A4A4A"/>
          <w:sz w:val="26"/>
          <w:szCs w:val="26"/>
        </w:rPr>
        <w:br/>
        <w:t xml:space="preserve">against a person or group of people, it usually derives from ignorance, </w:t>
      </w:r>
      <w:r w:rsidRPr="00822C32">
        <w:rPr>
          <w:rFonts w:ascii="Arial" w:hAnsi="Arial" w:cs="Arial"/>
          <w:color w:val="4A4A4A"/>
          <w:sz w:val="26"/>
          <w:szCs w:val="26"/>
        </w:rPr>
        <w:br/>
        <w:t>anger, fear, a sense of injury, or a perceived threat to the status quo.</w:t>
      </w:r>
    </w:p>
    <w:p w14:paraId="03403F70" w14:textId="77777777" w:rsidR="00822C32" w:rsidRPr="00822C32" w:rsidRDefault="00822C32" w:rsidP="00822C32">
      <w:pPr>
        <w:shd w:val="clear" w:color="auto" w:fill="FFFFFF"/>
        <w:spacing w:before="100" w:beforeAutospacing="1" w:after="100" w:afterAutospacing="1" w:line="360" w:lineRule="auto"/>
        <w:ind w:left="720"/>
        <w:rPr>
          <w:rFonts w:ascii="Arial" w:hAnsi="Arial" w:cs="Arial"/>
          <w:bCs/>
          <w:szCs w:val="26"/>
        </w:rPr>
      </w:pPr>
      <w:r w:rsidRPr="00822C32">
        <w:rPr>
          <w:rFonts w:ascii="Arial" w:eastAsia="Times New Roman" w:hAnsi="Arial" w:cs="Arial"/>
          <w:color w:val="4A4A4A"/>
          <w:szCs w:val="26"/>
        </w:rPr>
        <w:t xml:space="preserve">When the word “hate” is used in law, such as “hate crime law,” it does </w:t>
      </w:r>
      <w:r w:rsidRPr="00822C32">
        <w:rPr>
          <w:rFonts w:ascii="Arial" w:eastAsia="Times New Roman" w:hAnsi="Arial" w:cs="Arial"/>
          <w:color w:val="4A4A4A"/>
          <w:szCs w:val="26"/>
        </w:rPr>
        <w:br/>
        <w:t xml:space="preserve">not mean rage, anger, or general dislike. In this context, “hate” means </w:t>
      </w:r>
      <w:r w:rsidRPr="00822C32">
        <w:rPr>
          <w:rFonts w:ascii="Arial" w:eastAsia="Times New Roman" w:hAnsi="Arial" w:cs="Arial"/>
          <w:color w:val="4A4A4A"/>
          <w:szCs w:val="26"/>
        </w:rPr>
        <w:br/>
        <w:t>bias against people or groups with specific characteristics.”</w:t>
      </w:r>
      <w:r w:rsidRPr="00822C32">
        <w:rPr>
          <w:rFonts w:ascii="Arial" w:eastAsia="Times New Roman" w:hAnsi="Arial" w:cs="Arial"/>
          <w:color w:val="4A4A4A"/>
          <w:szCs w:val="26"/>
        </w:rPr>
        <w:br/>
      </w:r>
      <w:hyperlink r:id="rId8" w:history="1">
        <w:r w:rsidRPr="00822C32">
          <w:rPr>
            <w:rStyle w:val="Hyperlink"/>
            <w:rFonts w:ascii="Arial" w:eastAsia="Times New Roman" w:hAnsi="Arial" w:cs="Arial"/>
            <w:szCs w:val="26"/>
          </w:rPr>
          <w:t>https://oag.dc.gov/what-hate</w:t>
        </w:r>
      </w:hyperlink>
      <w:r w:rsidRPr="00822C32">
        <w:rPr>
          <w:rFonts w:ascii="Arial" w:eastAsia="Times New Roman" w:hAnsi="Arial" w:cs="Arial"/>
          <w:color w:val="4A4A4A"/>
          <w:szCs w:val="26"/>
        </w:rPr>
        <w:br/>
      </w:r>
    </w:p>
    <w:p w14:paraId="52CE5B91" w14:textId="77777777" w:rsidR="00822C32" w:rsidRPr="00822C32" w:rsidRDefault="00822C32" w:rsidP="00822C32">
      <w:pPr>
        <w:pStyle w:val="Heading4"/>
        <w:rPr>
          <w:rFonts w:ascii="Arial" w:hAnsi="Arial" w:cs="Arial"/>
        </w:rPr>
      </w:pPr>
      <w:bookmarkStart w:id="1" w:name="_Toc101611669"/>
      <w:r w:rsidRPr="00822C32">
        <w:rPr>
          <w:rFonts w:ascii="Arial" w:hAnsi="Arial" w:cs="Arial"/>
        </w:rPr>
        <w:t>Fear+Bias+Social Support = Aversion + Rationalization+Resentment = Hate</w:t>
      </w:r>
      <w:bookmarkEnd w:id="1"/>
      <w:r w:rsidRPr="00822C32">
        <w:rPr>
          <w:rFonts w:ascii="Arial" w:hAnsi="Arial" w:cs="Arial"/>
        </w:rPr>
        <w:t xml:space="preserve"> </w:t>
      </w:r>
      <w:r w:rsidRPr="00822C32">
        <w:rPr>
          <w:rFonts w:ascii="Arial" w:hAnsi="Arial" w:cs="Arial"/>
        </w:rPr>
        <w:br/>
      </w:r>
      <w:r w:rsidRPr="00822C32">
        <w:rPr>
          <w:rFonts w:ascii="Arial" w:hAnsi="Arial" w:cs="Arial"/>
        </w:rPr>
        <w:br/>
      </w:r>
    </w:p>
    <w:p w14:paraId="519BA624" w14:textId="77777777" w:rsidR="00822C32" w:rsidRPr="00822C32" w:rsidRDefault="00822C32" w:rsidP="00822C32">
      <w:pPr>
        <w:spacing w:line="480" w:lineRule="auto"/>
        <w:rPr>
          <w:rFonts w:ascii="Arial" w:hAnsi="Arial" w:cs="Arial"/>
        </w:rPr>
      </w:pPr>
      <w:r w:rsidRPr="00822C32">
        <w:rPr>
          <w:rFonts w:ascii="Arial" w:hAnsi="Arial" w:cs="Arial"/>
        </w:rPr>
        <w:t xml:space="preserve">As I’ve stated before, the topic of bigotry is quite complex and there are many factors at work in different populations and systems. There is no universal formula for how hate and oppression develop. However, fear and resentment, whether reality-based, totally imagined, or purposefully instigated, are core factors in the processes of generating bigotry and hate. Fear and resentment can be based simply on some people being different, with support from likeminded people. The basis could be recent arrivals, different origins, different language, skin color, culture, being successful when your family is not, etc. </w:t>
      </w:r>
      <w:r w:rsidRPr="00822C32">
        <w:rPr>
          <w:rFonts w:ascii="Arial" w:hAnsi="Arial" w:cs="Arial"/>
        </w:rPr>
        <w:br/>
      </w:r>
      <w:r w:rsidRPr="00822C32">
        <w:rPr>
          <w:rFonts w:ascii="Arial" w:hAnsi="Arial" w:cs="Arial"/>
        </w:rPr>
        <w:br/>
        <w:t>In a town, someone may claim an offensive remark, faux pas or even a heinous crime was committed by one of “them,” and a social system can form to enact a terrible injustice in the name of “justice” or in “eliminating or isolating a defective part of society.” This can happen from a literal vigilante mob or a social club or a group of high school students. Cognitive dissonance can then support the action retroactively determining that “those people” must have something wrong with them. Ultimately, news of this situation can spread to other communities and even countries, becoming a rationalization for aversion and bigotry. Thus, a social disease morphs from fear to hatred or even genocide.</w:t>
      </w:r>
    </w:p>
    <w:p w14:paraId="5B41831A" w14:textId="77777777" w:rsidR="00822C32" w:rsidRPr="00822C32" w:rsidRDefault="00822C32" w:rsidP="00822C32">
      <w:pPr>
        <w:spacing w:line="480" w:lineRule="auto"/>
        <w:rPr>
          <w:rFonts w:ascii="Arial" w:hAnsi="Arial" w:cs="Arial"/>
        </w:rPr>
      </w:pPr>
    </w:p>
    <w:p w14:paraId="7B4F55FB" w14:textId="77777777" w:rsidR="00822C32" w:rsidRPr="00822C32" w:rsidRDefault="00822C32" w:rsidP="00822C32">
      <w:pPr>
        <w:spacing w:line="480" w:lineRule="auto"/>
        <w:rPr>
          <w:rFonts w:ascii="Arial" w:hAnsi="Arial" w:cs="Arial"/>
        </w:rPr>
      </w:pPr>
      <w:r w:rsidRPr="00822C32">
        <w:rPr>
          <w:rFonts w:ascii="Arial" w:hAnsi="Arial" w:cs="Arial"/>
        </w:rPr>
        <w:t>So, looking at root causes, how can we fight fear? It would seem to some that fighting bigotry requires that we put “the fear of God,” “fear of prison,” humiliation and/or intimidation, into people. However, that reasoning seems more like a recipe for conflict (or mass murder) than for conciliation and respect. And, it has turned out, in real life society, more serious, deeply embedded conflict is, indeed, the result.</w:t>
      </w:r>
      <w:r w:rsidRPr="00822C32">
        <w:rPr>
          <w:rFonts w:ascii="Arial" w:hAnsi="Arial" w:cs="Arial"/>
        </w:rPr>
        <w:br/>
      </w:r>
      <w:r w:rsidRPr="00822C32">
        <w:rPr>
          <w:rFonts w:ascii="Arial" w:hAnsi="Arial" w:cs="Arial"/>
        </w:rPr>
        <w:br/>
        <w:t xml:space="preserve">For Anti-Jewishness, the fear and resentment of Jews is programmed into Christianity and Islam, and generally Europe, Asia Minor, and the Middle East, as I will discuss in more detail later on. It was never just about Jews or Jewishness being inferior. It was about Jews being a threat to Christianity and Islam, to each and every society to which they belonged. It was about the cardinal sin against both Christianity and Islam in rejecting their religions. </w:t>
      </w:r>
    </w:p>
    <w:p w14:paraId="2DA280B6" w14:textId="77777777" w:rsidR="00822C32" w:rsidRPr="00822C32" w:rsidRDefault="00822C32" w:rsidP="00822C32">
      <w:pPr>
        <w:spacing w:line="480" w:lineRule="auto"/>
        <w:rPr>
          <w:rFonts w:ascii="Arial" w:hAnsi="Arial" w:cs="Arial"/>
        </w:rPr>
      </w:pPr>
    </w:p>
    <w:p w14:paraId="4E3089C7" w14:textId="77777777" w:rsidR="00822C32" w:rsidRPr="00822C32" w:rsidRDefault="00822C32" w:rsidP="00822C32">
      <w:pPr>
        <w:spacing w:line="480" w:lineRule="auto"/>
        <w:rPr>
          <w:rFonts w:ascii="Arial" w:hAnsi="Arial" w:cs="Arial"/>
        </w:rPr>
      </w:pPr>
      <w:r w:rsidRPr="00822C32">
        <w:rPr>
          <w:rFonts w:ascii="Arial" w:hAnsi="Arial" w:cs="Arial"/>
        </w:rPr>
        <w:t>Some of the spread of anti-Jewishness resulted from conscious efforts to promote Christianity and Islam. People were made to feel afraid of Jewish conspiracies and of how Jews might succeed in changing, Judaizing, their society and corrupting its values and Christian/Muslim dominance. The fear included the perception that Jews were “other,” a different race of people who were being punished by God. There was also fear of Jews as sexualized beasts, a trope that has been used for many scapegoated minorities. Yet, underneath these bigotries is another factor, entitlement. Resentment is especially powerful when people believe that they are entitled to opportunities that you have “taken” from them – and feeling that they are entitled for you to be gone. Resentment.</w:t>
      </w:r>
      <w:r w:rsidRPr="00822C32">
        <w:rPr>
          <w:rFonts w:ascii="Arial" w:hAnsi="Arial" w:cs="Arial"/>
        </w:rPr>
        <w:br/>
      </w:r>
    </w:p>
    <w:p w14:paraId="372271F5" w14:textId="77777777" w:rsidR="00822C32" w:rsidRPr="00822C32" w:rsidRDefault="00822C32" w:rsidP="00822C32">
      <w:pPr>
        <w:pStyle w:val="Heading4"/>
        <w:rPr>
          <w:rFonts w:ascii="Arial" w:hAnsi="Arial" w:cs="Arial"/>
        </w:rPr>
      </w:pPr>
      <w:bookmarkStart w:id="2" w:name="_Toc101611670"/>
      <w:r w:rsidRPr="00822C32">
        <w:rPr>
          <w:rFonts w:ascii="Arial" w:hAnsi="Arial" w:cs="Arial"/>
        </w:rPr>
        <w:t>Blood Libels, Protocols, and other Conspiracy Hoaxes</w:t>
      </w:r>
      <w:bookmarkEnd w:id="2"/>
    </w:p>
    <w:p w14:paraId="3F7A959A" w14:textId="77777777" w:rsidR="00822C32" w:rsidRPr="00822C32" w:rsidRDefault="00822C32" w:rsidP="00822C32">
      <w:pPr>
        <w:rPr>
          <w:rFonts w:ascii="Arial" w:hAnsi="Arial" w:cs="Arial"/>
        </w:rPr>
      </w:pPr>
    </w:p>
    <w:p w14:paraId="5CCA075D" w14:textId="77777777" w:rsidR="00822C32" w:rsidRPr="00822C32" w:rsidRDefault="00822C32" w:rsidP="00822C32">
      <w:pPr>
        <w:spacing w:line="480" w:lineRule="auto"/>
        <w:rPr>
          <w:rFonts w:ascii="Arial" w:hAnsi="Arial" w:cs="Arial"/>
        </w:rPr>
      </w:pPr>
      <w:r w:rsidRPr="00822C32">
        <w:rPr>
          <w:rFonts w:ascii="Arial" w:hAnsi="Arial" w:cs="Arial"/>
        </w:rPr>
        <w:t>Many people today laugh at the bizarre conspiracy theories that evolve from QAnon and other popular media influencers. They sometimes assume that the creators and followers of these mass delusions are just stupid. However, another way to look at it is through the social sciences, which would ask, “what are these believers getting out of these media projects” and “who is funding them.” Most often, these people are believing things that support or reinforce their existing concerns, and the concerns of the social groups in which they identify. The believers gain a sense of being heard and of having their worldview validated.</w:t>
      </w:r>
    </w:p>
    <w:p w14:paraId="4D89737E" w14:textId="77777777" w:rsidR="00822C32" w:rsidRPr="00822C32" w:rsidRDefault="00822C32" w:rsidP="00822C32">
      <w:pPr>
        <w:spacing w:line="480" w:lineRule="auto"/>
        <w:rPr>
          <w:rFonts w:ascii="Arial" w:hAnsi="Arial" w:cs="Arial"/>
        </w:rPr>
      </w:pPr>
    </w:p>
    <w:p w14:paraId="2D209A84" w14:textId="77777777" w:rsidR="00822C32" w:rsidRPr="00822C32" w:rsidRDefault="00822C32" w:rsidP="00822C32">
      <w:pPr>
        <w:spacing w:line="480" w:lineRule="auto"/>
        <w:rPr>
          <w:rFonts w:ascii="Arial" w:hAnsi="Arial" w:cs="Arial"/>
        </w:rPr>
      </w:pPr>
      <w:r w:rsidRPr="00822C32">
        <w:rPr>
          <w:rFonts w:ascii="Arial" w:hAnsi="Arial" w:cs="Arial"/>
        </w:rPr>
        <w:t xml:space="preserve">The question of who is behind conspiracy theories is more complex. It challenges us to navigate around the conspiracy theory “rabbit hole” and focus mostly on trying to restrict falsehoods and distortions through public education and informed media. Unfortunately, those efforts are like applying a damp washcloth to someone with a raging infection, or inviting them to drink more water and take two aspirin or Tylenol, etc. </w:t>
      </w:r>
    </w:p>
    <w:p w14:paraId="56D48973" w14:textId="77777777" w:rsidR="00822C32" w:rsidRPr="00822C32" w:rsidRDefault="00822C32" w:rsidP="00822C32">
      <w:pPr>
        <w:spacing w:line="480" w:lineRule="auto"/>
        <w:rPr>
          <w:rFonts w:ascii="Arial" w:hAnsi="Arial" w:cs="Arial"/>
        </w:rPr>
      </w:pPr>
    </w:p>
    <w:p w14:paraId="32A9F644" w14:textId="77777777" w:rsidR="00822C32" w:rsidRPr="00822C32" w:rsidRDefault="00822C32" w:rsidP="00822C32">
      <w:pPr>
        <w:spacing w:line="480" w:lineRule="auto"/>
        <w:rPr>
          <w:rFonts w:ascii="Arial" w:hAnsi="Arial" w:cs="Arial"/>
        </w:rPr>
      </w:pPr>
      <w:r w:rsidRPr="00822C32">
        <w:rPr>
          <w:rFonts w:ascii="Arial" w:hAnsi="Arial" w:cs="Arial"/>
        </w:rPr>
        <w:t xml:space="preserve">Nonprofit organizations, governments, and the targeted groups themselves, often have programs attempting to root out criminal aspects of hate groups. However, there is a disconnect or “catch-22,” indicating an inescapable paradox in a targeted group or anyone else trying to negate a conspiracy. Clearly, those who combat conspiracy theories are easily seen as just being part of the conspiracy. So, the problem has always been fraught when the conspiracy claims that the government, media, or other powerful forces are also behind the conspiracies. </w:t>
      </w:r>
    </w:p>
    <w:p w14:paraId="3D596159" w14:textId="77777777" w:rsidR="00822C32" w:rsidRPr="00822C32" w:rsidRDefault="00822C32" w:rsidP="00822C32">
      <w:pPr>
        <w:spacing w:line="480" w:lineRule="auto"/>
        <w:rPr>
          <w:rFonts w:ascii="Arial" w:hAnsi="Arial" w:cs="Arial"/>
        </w:rPr>
      </w:pPr>
    </w:p>
    <w:p w14:paraId="28F87A96" w14:textId="77777777" w:rsidR="00822C32" w:rsidRPr="00822C32" w:rsidRDefault="00822C32" w:rsidP="00822C32">
      <w:pPr>
        <w:spacing w:line="480" w:lineRule="auto"/>
        <w:rPr>
          <w:rFonts w:ascii="Arial" w:hAnsi="Arial" w:cs="Arial"/>
        </w:rPr>
      </w:pPr>
      <w:r w:rsidRPr="00822C32">
        <w:rPr>
          <w:rFonts w:ascii="Arial" w:hAnsi="Arial" w:cs="Arial"/>
        </w:rPr>
        <w:t>Many different groups have faced conspiracy-based allegations, although some also combine racial or group inferiority claims. Many religious minorities (e.g., Jehovah’s Witnesses, Seventh Day Adventists, Mormons, Muslims, Bhai’s, folk, nature, and animist religions, Catholics, ethnic groups (e.g., Jews, Native Americans, Africans), have faced genocide and severe discrimination, as well as discrimination against immigrant refugees (which is literally “normal,” for human societies) and nomadic peoples (e.g., Romani “Gypsy” people and countless tribal peoples of Asia and Africa).</w:t>
      </w:r>
    </w:p>
    <w:p w14:paraId="5F838B81" w14:textId="77777777" w:rsidR="00822C32" w:rsidRPr="00822C32" w:rsidRDefault="00822C32" w:rsidP="00822C32">
      <w:pPr>
        <w:spacing w:line="480" w:lineRule="auto"/>
        <w:rPr>
          <w:rFonts w:ascii="Arial" w:hAnsi="Arial" w:cs="Arial"/>
        </w:rPr>
      </w:pPr>
    </w:p>
    <w:p w14:paraId="548BCAD9" w14:textId="77777777" w:rsidR="00822C32" w:rsidRPr="00822C32" w:rsidRDefault="00822C32" w:rsidP="00822C32">
      <w:pPr>
        <w:spacing w:line="480" w:lineRule="auto"/>
        <w:rPr>
          <w:rFonts w:ascii="Arial" w:hAnsi="Arial" w:cs="Arial"/>
        </w:rPr>
      </w:pPr>
      <w:r w:rsidRPr="00822C32">
        <w:rPr>
          <w:rFonts w:ascii="Arial" w:hAnsi="Arial" w:cs="Arial"/>
        </w:rPr>
        <w:t>One of the best documented group libels began with early Christianity and its accusation that “the Jews,” collectively, killed Christ. Whether concocted as marketing, revenge, or a propaganda war, it was an important aspect of anti-Jewishness through the ages, fully incorporated into Christian teachings, art, culture, and religious expression. To be sure, there have been significant efforts in the Catholic Church and Protestant denominations to mediate the impacts of these decisions and dogmas in their churches.</w:t>
      </w:r>
    </w:p>
    <w:p w14:paraId="11F1D1C2" w14:textId="77777777" w:rsidR="00822C32" w:rsidRPr="00822C32" w:rsidRDefault="00822C32" w:rsidP="00822C32">
      <w:pPr>
        <w:spacing w:line="480" w:lineRule="auto"/>
        <w:rPr>
          <w:rFonts w:ascii="Arial" w:hAnsi="Arial" w:cs="Arial"/>
        </w:rPr>
      </w:pPr>
    </w:p>
    <w:p w14:paraId="0508BAAD" w14:textId="77777777" w:rsidR="00822C32" w:rsidRPr="00822C32" w:rsidRDefault="00822C32" w:rsidP="00822C32">
      <w:pPr>
        <w:spacing w:line="480" w:lineRule="auto"/>
        <w:rPr>
          <w:rFonts w:ascii="Arial" w:hAnsi="Arial" w:cs="Arial"/>
        </w:rPr>
      </w:pPr>
      <w:r w:rsidRPr="00822C32">
        <w:rPr>
          <w:rFonts w:ascii="Arial" w:hAnsi="Arial" w:cs="Arial"/>
        </w:rPr>
        <w:t>Another aspect of the war against the Jews was the Blood Libel. Again, supported by the worldview promoted by both Catholic and Protestant Christianity, as well as Islam, the idea that Jews murdered Christian (or Muslim) children to use their blood to make matzos for Passover – or currently to harvest their organs for sale on the illegal market, made sense to many people. This was especially true if a child was missing and there were Jews around not blame. Major riots and pogroms happened around Europe and elsewhere due to these accusations, as well as the reinforcement of already strong bigotries and implicit biases against Jewish people. Over time, they take their toll, especially when other factors enter into the picture, like economic decline and government unrest seemingly “calling out” for a scapegoat.</w:t>
      </w:r>
    </w:p>
    <w:p w14:paraId="3AEE1EFE" w14:textId="77777777" w:rsidR="00822C32" w:rsidRPr="00822C32" w:rsidRDefault="00822C32" w:rsidP="00822C32">
      <w:pPr>
        <w:rPr>
          <w:rFonts w:ascii="Arial" w:hAnsi="Arial" w:cs="Arial"/>
        </w:rPr>
      </w:pPr>
    </w:p>
    <w:p w14:paraId="5C27CD30" w14:textId="77777777" w:rsidR="00822C32" w:rsidRPr="00822C32" w:rsidRDefault="00822C32" w:rsidP="00822C32">
      <w:pPr>
        <w:spacing w:line="480" w:lineRule="auto"/>
        <w:rPr>
          <w:rFonts w:ascii="Arial" w:hAnsi="Arial" w:cs="Arial"/>
        </w:rPr>
      </w:pPr>
      <w:r w:rsidRPr="00822C32">
        <w:rPr>
          <w:rFonts w:ascii="Arial" w:hAnsi="Arial" w:cs="Arial"/>
        </w:rPr>
        <w:t xml:space="preserve">And then there was the great hoax that continues to thrive in Europe and throughout the Arab and Muslim Worlds – </w:t>
      </w:r>
      <w:r w:rsidRPr="00822C32">
        <w:rPr>
          <w:rFonts w:ascii="Arial" w:hAnsi="Arial" w:cs="Arial"/>
          <w:i/>
          <w:iCs/>
        </w:rPr>
        <w:t>The Protocols of the Elders of Zion</w:t>
      </w:r>
      <w:r w:rsidRPr="00822C32">
        <w:rPr>
          <w:rFonts w:ascii="Arial" w:hAnsi="Arial" w:cs="Arial"/>
        </w:rPr>
        <w:t xml:space="preserve">. After a full century, it is still going strong! I will get into this topic later, but for now let me say that it plays a dominant role in fueling the hatred of Palestinians and other Arabs and Muslims. When they talk about “Zionism,” one needs to understand that they are not just negating the need for Jewish self-determination. In that region, Zionism means the conspiracy in the </w:t>
      </w:r>
      <w:r w:rsidRPr="00822C32">
        <w:rPr>
          <w:rFonts w:ascii="Arial" w:hAnsi="Arial" w:cs="Arial"/>
          <w:i/>
          <w:iCs/>
        </w:rPr>
        <w:t>Protocols of the Elders of Zion</w:t>
      </w:r>
      <w:r w:rsidRPr="00822C32">
        <w:rPr>
          <w:rFonts w:ascii="Arial" w:hAnsi="Arial" w:cs="Arial"/>
        </w:rPr>
        <w:t xml:space="preserve">, which began around 1902 in Russia as a hoax, but a remarkably effective one. Yes, that was the same hoax that was published as truth by none other than Henry Ford – and likely played a major role in the rise of American anti-Semitism that lead to immigration restrictions which resulted in the deaths of many refugees attempting to flee the Shoah in Christian Europe. Or maybe it was all just an odd coincidence? For an in-depth look at the “Protocols” in the Arab World, see the following article   </w:t>
      </w:r>
      <w:hyperlink r:id="rId9" w:history="1">
        <w:r w:rsidRPr="00822C32">
          <w:rPr>
            <w:rStyle w:val="Hyperlink"/>
            <w:rFonts w:ascii="Arial" w:hAnsi="Arial" w:cs="Arial"/>
          </w:rPr>
          <w:t>https://www.arabnews.com/node/1906891/middle-east</w:t>
        </w:r>
      </w:hyperlink>
      <w:r w:rsidRPr="00822C32">
        <w:rPr>
          <w:rFonts w:ascii="Arial" w:hAnsi="Arial" w:cs="Arial"/>
        </w:rPr>
        <w:t>, titled “Proven False 100 years ago, the “Protocols” Document is Still Being Exploited,”  which concludes:</w:t>
      </w:r>
    </w:p>
    <w:p w14:paraId="7DF79F3F" w14:textId="77777777" w:rsidR="00822C32" w:rsidRPr="00822C32" w:rsidRDefault="00822C32" w:rsidP="00822C32">
      <w:pPr>
        <w:pStyle w:val="ListParagraph"/>
        <w:numPr>
          <w:ilvl w:val="0"/>
          <w:numId w:val="1"/>
        </w:numPr>
        <w:rPr>
          <w:rFonts w:ascii="Arial" w:hAnsi="Arial" w:cs="Arial"/>
        </w:rPr>
      </w:pPr>
      <w:r w:rsidRPr="00822C32">
        <w:rPr>
          <w:rFonts w:ascii="Arial" w:hAnsi="Arial" w:cs="Arial"/>
        </w:rPr>
        <w:t>Extremists have great interest in the “Protocols of the Elders of Zion” forgery as it validates their prejudices</w:t>
      </w:r>
    </w:p>
    <w:p w14:paraId="1FA53AE9" w14:textId="77777777" w:rsidR="00822C32" w:rsidRPr="00822C32" w:rsidRDefault="00822C32" w:rsidP="00822C32">
      <w:pPr>
        <w:pStyle w:val="ListParagraph"/>
        <w:numPr>
          <w:ilvl w:val="0"/>
          <w:numId w:val="1"/>
        </w:numPr>
        <w:rPr>
          <w:rFonts w:ascii="Arial" w:hAnsi="Arial" w:cs="Arial"/>
        </w:rPr>
      </w:pPr>
      <w:r w:rsidRPr="00822C32">
        <w:rPr>
          <w:rFonts w:ascii="Arial" w:hAnsi="Arial" w:cs="Arial"/>
        </w:rPr>
        <w:t>Because of the Arab-Israeli conflict, the “Protocols” have been particularly appealing to some in the Middle East</w:t>
      </w:r>
      <w:r w:rsidRPr="00822C32">
        <w:rPr>
          <w:rFonts w:ascii="Arial" w:hAnsi="Arial" w:cs="Arial"/>
        </w:rPr>
        <w:br/>
      </w:r>
    </w:p>
    <w:p w14:paraId="20D1BC69" w14:textId="77777777" w:rsidR="00822C32" w:rsidRPr="00822C32" w:rsidRDefault="00822C32" w:rsidP="00822C32">
      <w:pPr>
        <w:spacing w:line="480" w:lineRule="auto"/>
        <w:rPr>
          <w:rFonts w:ascii="Arial" w:hAnsi="Arial" w:cs="Arial"/>
        </w:rPr>
      </w:pPr>
      <w:r w:rsidRPr="00822C32">
        <w:rPr>
          <w:rFonts w:ascii="Arial" w:hAnsi="Arial" w:cs="Arial"/>
        </w:rPr>
        <w:t xml:space="preserve">As an aside, I want to point out that this article, from Arab News.com, is a vehicle of the government of Saudi Arabia. This would indicate significant distancing from the positions of Hamas and Iran-supported Palestinian terrorists. Also interesting is the different way in which the “Protocols” were often received in Asia. In Japan, and in China, it appears that many who believed the lies of the hoax actually had a good deal of admiration for the Jews it portrayed. Stories about this are included in Ben-Itta’s book and in popular journalism </w:t>
      </w:r>
      <w:hyperlink r:id="rId10" w:history="1">
        <w:r w:rsidRPr="00822C32">
          <w:rPr>
            <w:rStyle w:val="Hyperlink"/>
            <w:rFonts w:ascii="Arial" w:hAnsi="Arial" w:cs="Arial"/>
          </w:rPr>
          <w:t>https://www.nytimes.com/1995/02/05/books/the-elders-of-zion-in-tokyo.html</w:t>
        </w:r>
      </w:hyperlink>
      <w:r w:rsidRPr="00822C32">
        <w:rPr>
          <w:rFonts w:ascii="Arial" w:hAnsi="Arial" w:cs="Arial"/>
        </w:rPr>
        <w:t>. Perhaps part of the success of complex conspiracy theories is that the believers are drawn to simultaneously admire and resent the agency of the alleged perpetrators (Ben-Itta). The direction of the emotion may be less important than the fact that emotions are connected with stereotypes. This is consistent with the idea of stereotypes being problematic, even when they seem to present positive attributes. Clever Jews and Asians, unbeatable Black warriors, and family-oriented Italians may be just as damaging as their negative corollaries. The positive assertions attribute power, masking parallel insecurities that result in those groups being seen as a threat.</w:t>
      </w:r>
    </w:p>
    <w:p w14:paraId="2935D1BA" w14:textId="77777777" w:rsidR="00822C32" w:rsidRPr="00822C32" w:rsidRDefault="00822C32" w:rsidP="00822C32">
      <w:pPr>
        <w:spacing w:line="480" w:lineRule="auto"/>
        <w:rPr>
          <w:rFonts w:ascii="Arial" w:hAnsi="Arial" w:cs="Arial"/>
        </w:rPr>
      </w:pPr>
    </w:p>
    <w:p w14:paraId="10BB8E49" w14:textId="424536A1" w:rsidR="00822C32" w:rsidRPr="00822C32" w:rsidRDefault="00822C32" w:rsidP="00822C32">
      <w:pPr>
        <w:spacing w:line="480" w:lineRule="auto"/>
        <w:rPr>
          <w:rFonts w:ascii="Arial" w:hAnsi="Arial" w:cs="Arial"/>
        </w:rPr>
      </w:pPr>
      <w:r w:rsidRPr="00822C32">
        <w:rPr>
          <w:rFonts w:ascii="Arial" w:hAnsi="Arial" w:cs="Arial"/>
        </w:rPr>
        <w:br/>
      </w:r>
      <w:bookmarkStart w:id="3" w:name="_Toc101611671"/>
      <w:r w:rsidRPr="00822C32">
        <w:rPr>
          <w:rStyle w:val="Heading4Char"/>
          <w:rFonts w:ascii="Arial" w:hAnsi="Arial" w:cs="Arial"/>
        </w:rPr>
        <w:t>Some Background on the Resentment Against Black People</w:t>
      </w:r>
      <w:bookmarkEnd w:id="3"/>
      <w:r w:rsidRPr="00822C32">
        <w:rPr>
          <w:rFonts w:ascii="Arial" w:hAnsi="Arial" w:cs="Arial"/>
        </w:rPr>
        <w:br/>
        <w:t>For Anti-Black bias, the bigotry was first driven by European exploration of Africa and the Americas, which raised itself in the European “Enlightenment,” and “otherized” Jews, Africans, Muslims, and Native Americans as “</w:t>
      </w:r>
      <w:r w:rsidR="00916F59">
        <w:rPr>
          <w:rFonts w:ascii="Arial" w:hAnsi="Arial" w:cs="Arial"/>
        </w:rPr>
        <w:t>inferior</w:t>
      </w:r>
      <w:r w:rsidRPr="00822C32">
        <w:rPr>
          <w:rFonts w:ascii="Arial" w:hAnsi="Arial" w:cs="Arial"/>
        </w:rPr>
        <w:t xml:space="preserve">,” as “different,” and as non-Christian, and as a threat to civilization. Black people were also feared as hypersexualized beasts and as intellectually and morally inferior dependents for the upstanding Christians as “The White Man’s Burden.” This all took place in Europe and early exploration and colonization efforts but was solidified in the wholesale colonization of the Americas and other territories (Parfitt). </w:t>
      </w:r>
      <w:r w:rsidRPr="00822C32">
        <w:rPr>
          <w:rFonts w:ascii="Arial" w:hAnsi="Arial" w:cs="Arial"/>
        </w:rPr>
        <w:br/>
      </w:r>
      <w:r w:rsidRPr="00822C32">
        <w:rPr>
          <w:rFonts w:ascii="Arial" w:hAnsi="Arial" w:cs="Arial"/>
        </w:rPr>
        <w:br/>
        <w:t xml:space="preserve">White Supremacy is a bigoted racism, to be sure. However, if we only look at the bigotry and not its root causes, we will see systems of oppression that may not have been sustainable for centuries. Based on lies and irrational rationalizations, such a system would have taken considerable fear and resentment to keep it together. That fear came from multiple sources, especially in the horrific treatment of fellow human beings. It became a matter of dominating and controlling abducted people who deserved the right of self-determination and who by right, without unfathomable oppression and deprivation, would have overthrown their oppressors. </w:t>
      </w:r>
      <w:r w:rsidRPr="00822C32">
        <w:rPr>
          <w:rFonts w:ascii="Arial" w:hAnsi="Arial" w:cs="Arial"/>
        </w:rPr>
        <w:br/>
      </w:r>
      <w:r w:rsidRPr="00822C32">
        <w:rPr>
          <w:rFonts w:ascii="Arial" w:hAnsi="Arial" w:cs="Arial"/>
        </w:rPr>
        <w:br/>
        <w:t>Resentment by poor white people would come from the mere presence of enslaved people, who literally performed work that white southerners would have gotten paid for – if the system of forced labor for Black people did not exist. Some resentment also existed at the greedy plantation owners who corrupted society, Christianity and towns with their wealth and power. Of course, it would be safer to displace that resentment onto Black people outside of the power and social structures in which the white folks needed to live. These kinds of social divisions have often been used to manipulate people into hating another group of the oppressed rather than those who are doing the oppression.</w:t>
      </w:r>
      <w:r w:rsidRPr="00822C32">
        <w:rPr>
          <w:rFonts w:ascii="Arial" w:hAnsi="Arial" w:cs="Arial"/>
        </w:rPr>
        <w:br/>
      </w:r>
      <w:r w:rsidRPr="00822C32">
        <w:rPr>
          <w:rFonts w:ascii="Arial" w:hAnsi="Arial" w:cs="Arial"/>
        </w:rPr>
        <w:br/>
        <w:t xml:space="preserve">Conditioning humans, by brutality, terrorism, and humiliation, to cower and submit to whatever the oppressors demanded had profoundly damaging impacts, whether in a forced labor camp, a plantation, or a concentration camp. Much of the culture of dehumanization of Black people was based on greed, of course, because enslavement was a system from which perpetrators profited very nicely. And fear of emancipation would have magnified that greed to the point of trying that much harder to maximize profits. At the same time, there were real-life slave revolts and there were numerous runaway enslaved people who might return for revenge. </w:t>
      </w:r>
      <w:r w:rsidRPr="00822C32">
        <w:rPr>
          <w:rFonts w:ascii="Arial" w:hAnsi="Arial" w:cs="Arial"/>
        </w:rPr>
        <w:br/>
      </w:r>
      <w:r w:rsidRPr="00822C32">
        <w:rPr>
          <w:rFonts w:ascii="Arial" w:hAnsi="Arial" w:cs="Arial"/>
        </w:rPr>
        <w:br/>
        <w:t xml:space="preserve">Enslaved people showed courage and great physical strength and endurance, as well as intelligence. When allowed, they would work in skilled trades and even bring native understandings of botany and cultivation to their fields. Those achievers, whether still enslaved or freed, could not have been seen without adding resentment to those in the ”majority” who thought they were superior, but lived in deep poverty. Those fears and resentments, especially in counties where 50% or more of the population were enslaved, became ultimately “reasonable” as an alternative (cognitive dissonance) to seeing oneself and one’s society as unhuman, barbaric, and heartless losers. </w:t>
      </w:r>
      <w:r w:rsidRPr="00822C32">
        <w:rPr>
          <w:rFonts w:ascii="Arial" w:hAnsi="Arial" w:cs="Arial"/>
        </w:rPr>
        <w:br/>
      </w:r>
      <w:r w:rsidRPr="00822C32">
        <w:rPr>
          <w:rFonts w:ascii="Arial" w:hAnsi="Arial" w:cs="Arial"/>
        </w:rPr>
        <w:br/>
        <w:t xml:space="preserve">Abolitionists brought morality to bear, wielding shame and guilt. However, the dissonance of living in a society dependent on the inhuman, barbaric institution of slavery neutralized the empathy, often reinforcing fear and the desire to protect the status quo. Fear was far more powerful, and the moral conflict only raised the stakes for Southern society to oppress and control enslaved people. Morality, itself, was very differently experienced by oppressed and oppressor, with the power behind the exploitation of human beings steeply tilting the playing field in favor of the oppressor. However, it would be a major mistake to imply that support for enslavement was uniform among Southerners. Indeed, many were opposed, and some fought for the North. </w:t>
      </w:r>
      <w:hyperlink r:id="rId11" w:history="1">
        <w:r w:rsidRPr="00822C32">
          <w:rPr>
            <w:rStyle w:val="Hyperlink"/>
            <w:rFonts w:ascii="Arial" w:hAnsi="Arial" w:cs="Arial"/>
          </w:rPr>
          <w:t>https://warfarehistorynetwork.com/2018/12/21/southerner-vs-southerner-union-supporters-below-the-mason-dixon-line/</w:t>
        </w:r>
      </w:hyperlink>
    </w:p>
    <w:p w14:paraId="064E4577" w14:textId="77777777" w:rsidR="00822C32" w:rsidRPr="00822C32" w:rsidRDefault="00822C32" w:rsidP="00822C32">
      <w:pPr>
        <w:spacing w:line="480" w:lineRule="auto"/>
        <w:rPr>
          <w:rFonts w:ascii="Arial" w:hAnsi="Arial" w:cs="Arial"/>
        </w:rPr>
      </w:pPr>
      <w:r w:rsidRPr="00822C32">
        <w:rPr>
          <w:rFonts w:ascii="Arial" w:hAnsi="Arial" w:cs="Arial"/>
        </w:rPr>
        <w:br/>
        <w:t>None of this talk about fear and resentment excuses the immoral, unethical, criminal, and degenerate systems of oppression that have victimized and traumatized individuals and groups to the point of intergenerational slavery and genocide. However, it may provide an important clue for how we can more effectively make things right, and how we might prevent the formation of future conflict. It is easy to create greater and greater conflict and enmity, but will that help? The evidence seems to say no! And, importantly, this was the message and operating assumption pursued by Gandhi, King, and Mandela. They knew that hate could not defeat hate, but that hate feeds hate, instead, and they did not want to help create a world of hate. They chose love, even a radical love (Lerner). Love is an antidote to fear and resentment, precursors to hate. When people are accepted into the larger community, what they have to contribute finally becomes apparent and they can become “normalized” to the larger group.</w:t>
      </w:r>
    </w:p>
    <w:p w14:paraId="03CB8987" w14:textId="77777777" w:rsidR="00822C32" w:rsidRPr="00822C32" w:rsidRDefault="00822C32" w:rsidP="00822C32">
      <w:pPr>
        <w:spacing w:line="480" w:lineRule="auto"/>
        <w:rPr>
          <w:rFonts w:ascii="Arial" w:hAnsi="Arial" w:cs="Arial"/>
        </w:rPr>
      </w:pPr>
    </w:p>
    <w:p w14:paraId="3267A25C" w14:textId="77777777" w:rsidR="00822C32" w:rsidRPr="00822C32" w:rsidRDefault="00822C32" w:rsidP="00822C32">
      <w:pPr>
        <w:spacing w:line="480" w:lineRule="auto"/>
        <w:rPr>
          <w:rFonts w:ascii="Arial" w:hAnsi="Arial" w:cs="Arial"/>
        </w:rPr>
      </w:pPr>
      <w:r w:rsidRPr="00822C32">
        <w:rPr>
          <w:rFonts w:ascii="Arial" w:hAnsi="Arial" w:cs="Arial"/>
        </w:rPr>
        <w:t>What this looks like is neighbors talking to one another. It looks like a society where everyone’s safety is top priority, where judgment and generations and lifetimes of conditioned fear are challenged and eroded by relationships, friendships, and dialogue. Truth and Reconciliation processes are available, and they are essential, with each “side” coming together as equals, as people with a story and a perspective that needs to be heard (Magee, Wilkinson, Lerner, Nordell, Firestone).</w:t>
      </w:r>
      <w:r w:rsidRPr="00822C32">
        <w:rPr>
          <w:rFonts w:ascii="Arial" w:hAnsi="Arial" w:cs="Arial"/>
        </w:rPr>
        <w:br/>
      </w:r>
    </w:p>
    <w:p w14:paraId="4CCC849A" w14:textId="77777777" w:rsidR="00822C32" w:rsidRPr="00822C32" w:rsidRDefault="00822C32" w:rsidP="00822C32">
      <w:pPr>
        <w:spacing w:line="480" w:lineRule="auto"/>
        <w:rPr>
          <w:rFonts w:ascii="Arial" w:hAnsi="Arial" w:cs="Arial"/>
        </w:rPr>
      </w:pPr>
      <w:r w:rsidRPr="00822C32">
        <w:rPr>
          <w:rFonts w:ascii="Arial" w:hAnsi="Arial" w:cs="Arial"/>
        </w:rPr>
        <w:t xml:space="preserve">Without systems working for social cohesion and acceptance, systems of oppression are hard to defeat. Fear and resentment cause violence and bigotry, which cause violence and bigotry on all sides, and on and on. But we can work towards de-escalation rather than escalation, toning down fear and resentment and tuning up compassion and civility, moving towards greater acceptance, respect, and love. Otherwise, we all live in fear and resentment, in a world of crossfires, everyone fearing being taken down by thugs, snipers and assassins “on some other side.” And these conflicts are often not simple, not just one side vs. another. More often, there are multiple “sides” and often a minority gets caught in the crossfire of two bigger powers, as well as shifting alliances and hidden agendas. </w:t>
      </w:r>
    </w:p>
    <w:p w14:paraId="5D07F856" w14:textId="77777777" w:rsidR="00822C32" w:rsidRPr="00822C32" w:rsidRDefault="00822C32" w:rsidP="00822C32">
      <w:pPr>
        <w:pStyle w:val="Heading4"/>
        <w:rPr>
          <w:rFonts w:ascii="Arial" w:hAnsi="Arial" w:cs="Arial"/>
        </w:rPr>
      </w:pPr>
      <w:r w:rsidRPr="00822C32">
        <w:rPr>
          <w:rFonts w:ascii="Arial" w:hAnsi="Arial" w:cs="Arial"/>
        </w:rPr>
        <w:br/>
      </w:r>
      <w:bookmarkStart w:id="4" w:name="_Toc101611672"/>
      <w:r w:rsidRPr="00822C32">
        <w:rPr>
          <w:rFonts w:ascii="Arial" w:hAnsi="Arial" w:cs="Arial"/>
        </w:rPr>
        <w:t>Psychology Has Progressed Since Freud</w:t>
      </w:r>
      <w:bookmarkEnd w:id="4"/>
    </w:p>
    <w:p w14:paraId="15CEE6C4" w14:textId="77777777" w:rsidR="00822C32" w:rsidRPr="00822C32" w:rsidRDefault="00822C32" w:rsidP="00822C32">
      <w:pPr>
        <w:rPr>
          <w:rFonts w:ascii="Arial" w:hAnsi="Arial" w:cs="Arial"/>
        </w:rPr>
      </w:pPr>
    </w:p>
    <w:p w14:paraId="3D77B9C8" w14:textId="77777777" w:rsidR="00822C32" w:rsidRPr="00822C32" w:rsidRDefault="00822C32" w:rsidP="00822C32">
      <w:pPr>
        <w:spacing w:line="480" w:lineRule="auto"/>
        <w:rPr>
          <w:rFonts w:ascii="Arial" w:hAnsi="Arial" w:cs="Arial"/>
        </w:rPr>
      </w:pPr>
      <w:r w:rsidRPr="00822C32">
        <w:rPr>
          <w:rFonts w:ascii="Arial" w:hAnsi="Arial" w:cs="Arial"/>
        </w:rPr>
        <w:t xml:space="preserve">For a good review of the psychology behind hate, fear, and resentment, I recommend the Psychology Today website. Although a popularized organization, I have found them reliable and able to explain important insights that have developed since the early work of Freud and Jung. See Abram, Allison, “The Psychology of Hate,” at </w:t>
      </w:r>
      <w:hyperlink r:id="rId12" w:history="1">
        <w:r w:rsidRPr="00822C32">
          <w:rPr>
            <w:rStyle w:val="Hyperlink"/>
            <w:rFonts w:ascii="Arial" w:hAnsi="Arial" w:cs="Arial"/>
          </w:rPr>
          <w:t>https://www.psychologytoday.com/us/blog/nurturing-self-compassion/201703/the-psychology-hate</w:t>
        </w:r>
      </w:hyperlink>
      <w:r w:rsidRPr="00822C32">
        <w:rPr>
          <w:rFonts w:ascii="Arial" w:hAnsi="Arial" w:cs="Arial"/>
        </w:rPr>
        <w:t xml:space="preserve"> . Psychology Today’s website blog has a section on “Anger in the Age of Entitlement,” several written by Steven Stozny, another of which focuses on “Why Americans are Frustrated, Entitled and Judgmental” at </w:t>
      </w:r>
      <w:hyperlink r:id="rId13" w:history="1">
        <w:r w:rsidRPr="00822C32">
          <w:rPr>
            <w:rStyle w:val="Hyperlink"/>
            <w:rFonts w:ascii="Arial" w:hAnsi="Arial" w:cs="Arial"/>
          </w:rPr>
          <w:t>https://www.psychologytoday.com/us/blog/anger-in-the-age-entitlement/202202/why-americans-are-frustrated-entitled-and-judgmental</w:t>
        </w:r>
      </w:hyperlink>
      <w:r w:rsidRPr="00822C32">
        <w:rPr>
          <w:rFonts w:ascii="Arial" w:hAnsi="Arial" w:cs="Arial"/>
        </w:rPr>
        <w:t xml:space="preserve"> and on Anger, Anxiety and Resentment at </w:t>
      </w:r>
      <w:hyperlink r:id="rId14" w:history="1">
        <w:r w:rsidRPr="00822C32">
          <w:rPr>
            <w:rStyle w:val="Hyperlink"/>
            <w:rFonts w:ascii="Arial" w:hAnsi="Arial" w:cs="Arial"/>
          </w:rPr>
          <w:t>https://www.psychologytoday.com/us/blog/anger-in-the-age-entitlement/201708/anger-anxiety-resentment-stress-and-basic-humanity</w:t>
        </w:r>
      </w:hyperlink>
      <w:r w:rsidRPr="00822C32">
        <w:rPr>
          <w:rFonts w:ascii="Arial" w:hAnsi="Arial" w:cs="Arial"/>
        </w:rPr>
        <w:t xml:space="preserve"> and </w:t>
      </w:r>
      <w:hyperlink r:id="rId15" w:history="1">
        <w:r w:rsidRPr="00822C32">
          <w:rPr>
            <w:rStyle w:val="Hyperlink"/>
            <w:rFonts w:ascii="Arial" w:hAnsi="Arial" w:cs="Arial"/>
          </w:rPr>
          <w:t>https://www.psychologytoday.com/us/blog/anger-in-the-age-entitlement/202108/the-dynamics-anger-and-resentment</w:t>
        </w:r>
      </w:hyperlink>
      <w:r w:rsidRPr="00822C32">
        <w:rPr>
          <w:rFonts w:ascii="Arial" w:hAnsi="Arial" w:cs="Arial"/>
        </w:rPr>
        <w:t xml:space="preserve">  </w:t>
      </w:r>
    </w:p>
    <w:p w14:paraId="351EF98F" w14:textId="77777777" w:rsidR="00822C32" w:rsidRPr="00822C32" w:rsidRDefault="00822C32" w:rsidP="00822C32">
      <w:pPr>
        <w:spacing w:line="480" w:lineRule="auto"/>
        <w:rPr>
          <w:rFonts w:ascii="Arial" w:hAnsi="Arial" w:cs="Arial"/>
        </w:rPr>
      </w:pPr>
    </w:p>
    <w:p w14:paraId="0058BCDE" w14:textId="77777777" w:rsidR="00822C32" w:rsidRPr="00822C32" w:rsidRDefault="00822C32" w:rsidP="00822C32">
      <w:pPr>
        <w:spacing w:line="480" w:lineRule="auto"/>
        <w:rPr>
          <w:rFonts w:ascii="Arial" w:hAnsi="Arial" w:cs="Arial"/>
        </w:rPr>
      </w:pPr>
      <w:bookmarkStart w:id="5" w:name="_Toc101611673"/>
      <w:r w:rsidRPr="00822C32">
        <w:rPr>
          <w:rStyle w:val="Heading4Char"/>
          <w:rFonts w:ascii="Arial" w:hAnsi="Arial" w:cs="Arial"/>
        </w:rPr>
        <w:t>Trans-disciplinary, Holistic Processes</w:t>
      </w:r>
      <w:bookmarkEnd w:id="5"/>
      <w:r w:rsidRPr="00822C32">
        <w:rPr>
          <w:rStyle w:val="Heading4Char"/>
          <w:rFonts w:ascii="Arial" w:hAnsi="Arial" w:cs="Arial"/>
        </w:rPr>
        <w:br/>
      </w:r>
      <w:r w:rsidRPr="00822C32">
        <w:rPr>
          <w:rFonts w:ascii="Arial" w:hAnsi="Arial" w:cs="Arial"/>
        </w:rPr>
        <w:t xml:space="preserve">This approach to incorporating psychological insights is an example of trans-disciplinary and holistic thinking that zooms in to individual psychological issues and larger patterns,  gleans insight and then zooms back out to see how they might fit into a bigger picture. The findings of different disciplines are not used as reductionist, deterministic, final answers, but rather as input into a larger process of trying to understand how the systems work in the real world on the larger scale. There are connections between psychology, sociology, anthropology, political science, economics, national and international relations, etc. Finding them requires considering each field’s talents and limitations. While different disciplines evolve very different views of similar phenomenon, trans-disciplinary approaches seek to incorporate these developments into the larger societal debates. </w:t>
      </w:r>
      <w:r w:rsidRPr="00822C32">
        <w:rPr>
          <w:rFonts w:ascii="Arial" w:hAnsi="Arial" w:cs="Arial"/>
        </w:rPr>
        <w:br/>
      </w:r>
      <w:r w:rsidRPr="00822C32">
        <w:rPr>
          <w:rFonts w:ascii="Arial" w:hAnsi="Arial" w:cs="Arial"/>
        </w:rPr>
        <w:br/>
        <w:t xml:space="preserve">For a look at resentment, its formation and results, see “Anger in the Age of Entitlement” at </w:t>
      </w:r>
      <w:hyperlink r:id="rId16" w:history="1">
        <w:r w:rsidRPr="00822C32">
          <w:rPr>
            <w:rStyle w:val="Hyperlink"/>
            <w:rFonts w:ascii="Arial" w:hAnsi="Arial" w:cs="Arial"/>
          </w:rPr>
          <w:t>https://www.psychologytoday.com/us/blog/anger-in-the-age-entitlement/</w:t>
        </w:r>
      </w:hyperlink>
      <w:r w:rsidRPr="00822C32">
        <w:rPr>
          <w:rFonts w:ascii="Arial" w:hAnsi="Arial" w:cs="Arial"/>
        </w:rPr>
        <w:t xml:space="preserve">  As we learn new things about how human nature works in real people in the real world, we need to adapt our responses to phenomenon like bigotry and bias, which have been with us forever, but are perhaps magnified or transformed into more virulent public health problems in our current society. Social media and video games are new phenomenon, so we are not prepared with an understanding of their unintended consequences. Another useful look, focusing on online hate, can be found in “The Conversation” at the following link: </w:t>
      </w:r>
      <w:hyperlink r:id="rId17" w:history="1">
        <w:r w:rsidRPr="00822C32">
          <w:rPr>
            <w:rStyle w:val="Hyperlink"/>
            <w:rFonts w:ascii="Arial" w:hAnsi="Arial" w:cs="Arial"/>
          </w:rPr>
          <w:t>https://theconversation.com/fear-more-than-hate-feeds-online-bigotry-and-real-world-violence-106988</w:t>
        </w:r>
      </w:hyperlink>
      <w:r w:rsidRPr="00822C32">
        <w:rPr>
          <w:rFonts w:ascii="Arial" w:hAnsi="Arial" w:cs="Arial"/>
        </w:rPr>
        <w:t xml:space="preserve">  </w:t>
      </w:r>
    </w:p>
    <w:p w14:paraId="675242EC" w14:textId="77777777" w:rsidR="00822C32" w:rsidRPr="00822C32" w:rsidRDefault="00822C32" w:rsidP="00822C32">
      <w:pPr>
        <w:spacing w:line="480" w:lineRule="auto"/>
        <w:rPr>
          <w:rFonts w:ascii="Arial" w:hAnsi="Arial" w:cs="Arial"/>
        </w:rPr>
      </w:pPr>
    </w:p>
    <w:p w14:paraId="59DE535E" w14:textId="77777777" w:rsidR="00822C32" w:rsidRPr="00822C32" w:rsidRDefault="00822C32" w:rsidP="00822C32">
      <w:pPr>
        <w:spacing w:line="480" w:lineRule="auto"/>
        <w:rPr>
          <w:rFonts w:ascii="Arial" w:hAnsi="Arial" w:cs="Arial"/>
        </w:rPr>
      </w:pPr>
      <w:r w:rsidRPr="00822C32">
        <w:rPr>
          <w:rFonts w:ascii="Arial" w:hAnsi="Arial" w:cs="Arial"/>
        </w:rPr>
        <w:t>In this book, I have used some excellent resources to flesh out the human side of bigotry and ways to help heal it. Magee, Nordell, Firestone, Wilkerson and others referenced in the annotated bibliography have the kinds of perspectives that need to be integrated in order to understand bigotry and bias. Ultimately, it is rather striking how their insights fit together with traditional Jewish ethics and values. Now, let’s return, again, to the example of Anti-Jewishness.</w:t>
      </w:r>
    </w:p>
    <w:p w14:paraId="2C1C1237" w14:textId="77777777" w:rsidR="00CE5577" w:rsidRDefault="00CE5577"/>
    <w:sectPr w:rsidR="00CE557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0E378" w14:textId="77777777" w:rsidR="00900B82" w:rsidRDefault="00900B82" w:rsidP="00E93B53">
      <w:pPr>
        <w:spacing w:after="0"/>
      </w:pPr>
      <w:r>
        <w:separator/>
      </w:r>
    </w:p>
  </w:endnote>
  <w:endnote w:type="continuationSeparator" w:id="0">
    <w:p w14:paraId="5CE3EAC0" w14:textId="77777777" w:rsidR="00900B82" w:rsidRDefault="00900B82" w:rsidP="00E93B5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1E421" w14:textId="1BAA998F" w:rsidR="00E93B53" w:rsidRDefault="00676E88">
    <w:pPr>
      <w:pStyle w:val="Footer"/>
    </w:pPr>
    <w:r>
      <w:rPr>
        <w:noProof/>
      </w:rPr>
      <mc:AlternateContent>
        <mc:Choice Requires="wps">
          <w:drawing>
            <wp:anchor distT="182880" distB="182880" distL="114300" distR="114300" simplePos="0" relativeHeight="251659264" behindDoc="0" locked="0" layoutInCell="1" allowOverlap="0" wp14:anchorId="7AD1CE19" wp14:editId="5DDC9C67">
              <wp:simplePos x="0" y="0"/>
              <wp:positionH relativeFrom="page">
                <wp:align>center</wp:align>
              </wp:positionH>
              <mc:AlternateContent>
                <mc:Choice Requires="wp14">
                  <wp:positionV relativeFrom="page">
                    <wp14:pctPosVOffset>94100</wp14:pctPosVOffset>
                  </wp:positionV>
                </mc:Choice>
                <mc:Fallback>
                  <wp:positionV relativeFrom="page">
                    <wp:posOffset>9464675</wp:posOffset>
                  </wp:positionV>
                </mc:Fallback>
              </mc:AlternateContent>
              <wp:extent cx="5943600" cy="393192"/>
              <wp:effectExtent l="0" t="0" r="0" b="6985"/>
              <wp:wrapTopAndBottom/>
              <wp:docPr id="13" name="Text Box 13" descr="Color-block footer displaying page number"/>
              <wp:cNvGraphicFramePr/>
              <a:graphic xmlns:a="http://schemas.openxmlformats.org/drawingml/2006/main">
                <a:graphicData uri="http://schemas.microsoft.com/office/word/2010/wordprocessingShape">
                  <wps:wsp>
                    <wps:cNvSpPr txBox="1"/>
                    <wps:spPr>
                      <a:xfrm>
                        <a:off x="0" y="0"/>
                        <a:ext cx="5943600" cy="3931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Footer content"/>
                          </w:tblPr>
                          <w:tblGrid>
                            <w:gridCol w:w="188"/>
                            <w:gridCol w:w="8709"/>
                            <w:gridCol w:w="468"/>
                          </w:tblGrid>
                          <w:tr w:rsidR="00676E88" w14:paraId="40B1AAC7" w14:textId="77777777">
                            <w:trPr>
                              <w:trHeight w:hRule="exact" w:val="360"/>
                            </w:trPr>
                            <w:tc>
                              <w:tcPr>
                                <w:tcW w:w="100" w:type="pct"/>
                                <w:shd w:val="clear" w:color="auto" w:fill="4472C4" w:themeFill="accent1"/>
                                <w:vAlign w:val="center"/>
                              </w:tcPr>
                              <w:p w14:paraId="2D0CECA2" w14:textId="77777777" w:rsidR="00676E88" w:rsidRDefault="00676E88">
                                <w:pPr>
                                  <w:pStyle w:val="Footer"/>
                                  <w:tabs>
                                    <w:tab w:val="clear" w:pos="4680"/>
                                    <w:tab w:val="clear" w:pos="9360"/>
                                  </w:tabs>
                                  <w:spacing w:before="40" w:after="40"/>
                                  <w:rPr>
                                    <w:color w:val="FFFFFF" w:themeColor="background1"/>
                                  </w:rPr>
                                </w:pPr>
                              </w:p>
                            </w:tc>
                            <w:tc>
                              <w:tcPr>
                                <w:tcW w:w="4650" w:type="pct"/>
                                <w:shd w:val="clear" w:color="auto" w:fill="2E74B5" w:themeFill="accent5" w:themeFillShade="BF"/>
                                <w:vAlign w:val="center"/>
                              </w:tcPr>
                              <w:p w14:paraId="63DED067" w14:textId="0CE91B40" w:rsidR="00676E88" w:rsidRDefault="00723013" w:rsidP="00C75A54">
                                <w:pPr>
                                  <w:pStyle w:val="Footer"/>
                                  <w:tabs>
                                    <w:tab w:val="clear" w:pos="4680"/>
                                    <w:tab w:val="clear" w:pos="9360"/>
                                  </w:tabs>
                                  <w:spacing w:before="40" w:after="40"/>
                                  <w:ind w:left="144" w:right="144"/>
                                  <w:jc w:val="center"/>
                                  <w:rPr>
                                    <w:color w:val="FFFFFF" w:themeColor="background1"/>
                                  </w:rPr>
                                </w:pPr>
                                <w:r>
                                  <w:rPr>
                                    <w:color w:val="FFFFFF" w:themeColor="background1"/>
                                  </w:rPr>
                                  <w:t>amazon.com/</w:t>
                                </w:r>
                                <w:r w:rsidR="00CC72A3">
                                  <w:rPr>
                                    <w:color w:val="FFFFFF" w:themeColor="background1"/>
                                  </w:rPr>
                                  <w:t>author/</w:t>
                                </w:r>
                                <w:r>
                                  <w:rPr>
                                    <w:color w:val="FFFFFF" w:themeColor="background1"/>
                                  </w:rPr>
                                  <w:t>earondavis</w:t>
                                </w:r>
                                <w:r w:rsidR="009C3F13">
                                  <w:rPr>
                                    <w:color w:val="FFFFFF" w:themeColor="background1"/>
                                  </w:rPr>
                                  <w:t xml:space="preserve"> </w:t>
                                </w:r>
                                <w:r w:rsidR="00C75A54">
                                  <w:rPr>
                                    <w:color w:val="FFFFFF" w:themeColor="background1"/>
                                  </w:rPr>
                                  <w:t>–</w:t>
                                </w:r>
                                <w:r w:rsidR="009C3F13">
                                  <w:rPr>
                                    <w:color w:val="FFFFFF" w:themeColor="background1"/>
                                  </w:rPr>
                                  <w:t xml:space="preserve"> </w:t>
                                </w:r>
                                <w:r w:rsidR="00C75A54">
                                  <w:rPr>
                                    <w:color w:val="FFFFFF" w:themeColor="background1"/>
                                  </w:rPr>
                                  <w:t>Systems of Anti-Jewishness</w:t>
                                </w:r>
                              </w:p>
                            </w:tc>
                            <w:tc>
                              <w:tcPr>
                                <w:tcW w:w="250" w:type="pct"/>
                                <w:shd w:val="clear" w:color="auto" w:fill="4472C4" w:themeFill="accent1"/>
                                <w:vAlign w:val="center"/>
                              </w:tcPr>
                              <w:p w14:paraId="75EDD92E" w14:textId="77777777" w:rsidR="00676E88" w:rsidRDefault="00676E88">
                                <w:pPr>
                                  <w:pStyle w:val="Footer"/>
                                  <w:tabs>
                                    <w:tab w:val="clear" w:pos="4680"/>
                                    <w:tab w:val="clear" w:pos="9360"/>
                                  </w:tabs>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7AF171E0" w14:textId="77777777" w:rsidR="00676E88" w:rsidRDefault="00676E88">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7AD1CE19" id="_x0000_t202" coordsize="21600,21600" o:spt="202" path="m,l,21600r21600,l21600,xe">
              <v:stroke joinstyle="miter"/>
              <v:path gradientshapeok="t" o:connecttype="rect"/>
            </v:shapetype>
            <v:shape id="Text Box 13" o:spid="_x0000_s1026" type="#_x0000_t202" alt="Color-block footer displaying page number" style="position:absolute;margin-left:0;margin-top:0;width:468pt;height:30.95pt;z-index:251659264;visibility:visible;mso-wrap-style:square;mso-width-percent:1000;mso-height-percent:0;mso-top-percent:941;mso-wrap-distance-left:9pt;mso-wrap-distance-top:14.4pt;mso-wrap-distance-right:9pt;mso-wrap-distance-bottom:14.4pt;mso-position-horizontal:center;mso-position-horizontal-relative:page;mso-position-vertical-relative:page;mso-width-percent:1000;mso-height-percent:0;mso-top-percent:941;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Footer content"/>
                    </w:tblPr>
                    <w:tblGrid>
                      <w:gridCol w:w="188"/>
                      <w:gridCol w:w="8709"/>
                      <w:gridCol w:w="468"/>
                    </w:tblGrid>
                    <w:tr w:rsidR="00676E88" w14:paraId="40B1AAC7" w14:textId="77777777">
                      <w:trPr>
                        <w:trHeight w:hRule="exact" w:val="360"/>
                      </w:trPr>
                      <w:tc>
                        <w:tcPr>
                          <w:tcW w:w="100" w:type="pct"/>
                          <w:shd w:val="clear" w:color="auto" w:fill="4472C4" w:themeFill="accent1"/>
                          <w:vAlign w:val="center"/>
                        </w:tcPr>
                        <w:p w14:paraId="2D0CECA2" w14:textId="77777777" w:rsidR="00676E88" w:rsidRDefault="00676E88">
                          <w:pPr>
                            <w:pStyle w:val="Footer"/>
                            <w:tabs>
                              <w:tab w:val="clear" w:pos="4680"/>
                              <w:tab w:val="clear" w:pos="9360"/>
                            </w:tabs>
                            <w:spacing w:before="40" w:after="40"/>
                            <w:rPr>
                              <w:color w:val="FFFFFF" w:themeColor="background1"/>
                            </w:rPr>
                          </w:pPr>
                        </w:p>
                      </w:tc>
                      <w:tc>
                        <w:tcPr>
                          <w:tcW w:w="4650" w:type="pct"/>
                          <w:shd w:val="clear" w:color="auto" w:fill="2E74B5" w:themeFill="accent5" w:themeFillShade="BF"/>
                          <w:vAlign w:val="center"/>
                        </w:tcPr>
                        <w:p w14:paraId="63DED067" w14:textId="0CE91B40" w:rsidR="00676E88" w:rsidRDefault="00723013" w:rsidP="00C75A54">
                          <w:pPr>
                            <w:pStyle w:val="Footer"/>
                            <w:tabs>
                              <w:tab w:val="clear" w:pos="4680"/>
                              <w:tab w:val="clear" w:pos="9360"/>
                            </w:tabs>
                            <w:spacing w:before="40" w:after="40"/>
                            <w:ind w:left="144" w:right="144"/>
                            <w:jc w:val="center"/>
                            <w:rPr>
                              <w:color w:val="FFFFFF" w:themeColor="background1"/>
                            </w:rPr>
                          </w:pPr>
                          <w:r>
                            <w:rPr>
                              <w:color w:val="FFFFFF" w:themeColor="background1"/>
                            </w:rPr>
                            <w:t>amazon.com/</w:t>
                          </w:r>
                          <w:r w:rsidR="00CC72A3">
                            <w:rPr>
                              <w:color w:val="FFFFFF" w:themeColor="background1"/>
                            </w:rPr>
                            <w:t>author/</w:t>
                          </w:r>
                          <w:r>
                            <w:rPr>
                              <w:color w:val="FFFFFF" w:themeColor="background1"/>
                            </w:rPr>
                            <w:t>earondavis</w:t>
                          </w:r>
                          <w:r w:rsidR="009C3F13">
                            <w:rPr>
                              <w:color w:val="FFFFFF" w:themeColor="background1"/>
                            </w:rPr>
                            <w:t xml:space="preserve"> </w:t>
                          </w:r>
                          <w:r w:rsidR="00C75A54">
                            <w:rPr>
                              <w:color w:val="FFFFFF" w:themeColor="background1"/>
                            </w:rPr>
                            <w:t>–</w:t>
                          </w:r>
                          <w:r w:rsidR="009C3F13">
                            <w:rPr>
                              <w:color w:val="FFFFFF" w:themeColor="background1"/>
                            </w:rPr>
                            <w:t xml:space="preserve"> </w:t>
                          </w:r>
                          <w:r w:rsidR="00C75A54">
                            <w:rPr>
                              <w:color w:val="FFFFFF" w:themeColor="background1"/>
                            </w:rPr>
                            <w:t>Systems of Anti-Jewishness</w:t>
                          </w:r>
                        </w:p>
                      </w:tc>
                      <w:tc>
                        <w:tcPr>
                          <w:tcW w:w="250" w:type="pct"/>
                          <w:shd w:val="clear" w:color="auto" w:fill="4472C4" w:themeFill="accent1"/>
                          <w:vAlign w:val="center"/>
                        </w:tcPr>
                        <w:p w14:paraId="75EDD92E" w14:textId="77777777" w:rsidR="00676E88" w:rsidRDefault="00676E88">
                          <w:pPr>
                            <w:pStyle w:val="Footer"/>
                            <w:tabs>
                              <w:tab w:val="clear" w:pos="4680"/>
                              <w:tab w:val="clear" w:pos="9360"/>
                            </w:tabs>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7AF171E0" w14:textId="77777777" w:rsidR="00676E88" w:rsidRDefault="00676E88">
                    <w:pPr>
                      <w:pStyle w:val="NoSpacing"/>
                    </w:pPr>
                  </w:p>
                </w:txbxContent>
              </v:textbox>
              <w10:wrap type="topAndBottom"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5D1C1" w14:textId="77777777" w:rsidR="00900B82" w:rsidRDefault="00900B82" w:rsidP="00E93B53">
      <w:pPr>
        <w:spacing w:after="0"/>
      </w:pPr>
      <w:r>
        <w:separator/>
      </w:r>
    </w:p>
  </w:footnote>
  <w:footnote w:type="continuationSeparator" w:id="0">
    <w:p w14:paraId="56EED972" w14:textId="77777777" w:rsidR="00900B82" w:rsidRDefault="00900B82" w:rsidP="00E93B5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645F9"/>
    <w:multiLevelType w:val="hybridMultilevel"/>
    <w:tmpl w:val="3D5C6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1641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C32"/>
    <w:rsid w:val="00024424"/>
    <w:rsid w:val="000C3636"/>
    <w:rsid w:val="000E5517"/>
    <w:rsid w:val="00142CCB"/>
    <w:rsid w:val="00676E88"/>
    <w:rsid w:val="00723013"/>
    <w:rsid w:val="00822C32"/>
    <w:rsid w:val="00900B82"/>
    <w:rsid w:val="00916F59"/>
    <w:rsid w:val="009C3F13"/>
    <w:rsid w:val="00B64B4F"/>
    <w:rsid w:val="00C208B3"/>
    <w:rsid w:val="00C75A54"/>
    <w:rsid w:val="00CC72A3"/>
    <w:rsid w:val="00CE5577"/>
    <w:rsid w:val="00E93B53"/>
    <w:rsid w:val="00F145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AE2853"/>
  <w15:chartTrackingRefBased/>
  <w15:docId w15:val="{2BC5BE56-493B-4551-A282-89098A634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C32"/>
    <w:pPr>
      <w:spacing w:line="240" w:lineRule="auto"/>
    </w:pPr>
    <w:rPr>
      <w:sz w:val="26"/>
    </w:rPr>
  </w:style>
  <w:style w:type="paragraph" w:styleId="Heading2">
    <w:name w:val="heading 2"/>
    <w:basedOn w:val="Normal"/>
    <w:next w:val="Normal"/>
    <w:link w:val="Heading2Char"/>
    <w:uiPriority w:val="9"/>
    <w:unhideWhenUsed/>
    <w:qFormat/>
    <w:rsid w:val="00822C32"/>
    <w:pPr>
      <w:keepNext/>
      <w:keepLines/>
      <w:spacing w:before="120" w:after="120"/>
      <w:jc w:val="center"/>
      <w:outlineLvl w:val="1"/>
    </w:pPr>
    <w:rPr>
      <w:rFonts w:ascii="Calibri" w:eastAsiaTheme="majorEastAsia" w:hAnsi="Calibri" w:cstheme="majorBidi"/>
      <w:b/>
      <w:sz w:val="28"/>
      <w:szCs w:val="26"/>
    </w:rPr>
  </w:style>
  <w:style w:type="paragraph" w:styleId="Heading4">
    <w:name w:val="heading 4"/>
    <w:basedOn w:val="Normal"/>
    <w:next w:val="Normal"/>
    <w:link w:val="Heading4Char"/>
    <w:uiPriority w:val="9"/>
    <w:unhideWhenUsed/>
    <w:qFormat/>
    <w:rsid w:val="00822C32"/>
    <w:pPr>
      <w:keepNext/>
      <w:keepLines/>
      <w:spacing w:before="40" w:after="0"/>
      <w:outlineLvl w:val="3"/>
    </w:pPr>
    <w:rPr>
      <w:rFonts w:asciiTheme="majorHAnsi" w:eastAsiaTheme="majorEastAsia" w:hAnsiTheme="majorHAnsi" w:cstheme="majorBidi"/>
      <w:b/>
      <w:i/>
      <w:i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22C32"/>
    <w:rPr>
      <w:rFonts w:ascii="Calibri" w:eastAsiaTheme="majorEastAsia" w:hAnsi="Calibri" w:cstheme="majorBidi"/>
      <w:b/>
      <w:sz w:val="28"/>
      <w:szCs w:val="26"/>
    </w:rPr>
  </w:style>
  <w:style w:type="character" w:customStyle="1" w:styleId="Heading4Char">
    <w:name w:val="Heading 4 Char"/>
    <w:basedOn w:val="DefaultParagraphFont"/>
    <w:link w:val="Heading4"/>
    <w:uiPriority w:val="9"/>
    <w:rsid w:val="00822C32"/>
    <w:rPr>
      <w:rFonts w:asciiTheme="majorHAnsi" w:eastAsiaTheme="majorEastAsia" w:hAnsiTheme="majorHAnsi" w:cstheme="majorBidi"/>
      <w:b/>
      <w:i/>
      <w:iCs/>
      <w:sz w:val="30"/>
    </w:rPr>
  </w:style>
  <w:style w:type="paragraph" w:styleId="ListParagraph">
    <w:name w:val="List Paragraph"/>
    <w:basedOn w:val="Normal"/>
    <w:uiPriority w:val="34"/>
    <w:qFormat/>
    <w:rsid w:val="00822C32"/>
    <w:pPr>
      <w:ind w:left="720"/>
      <w:contextualSpacing/>
    </w:pPr>
  </w:style>
  <w:style w:type="character" w:styleId="Hyperlink">
    <w:name w:val="Hyperlink"/>
    <w:basedOn w:val="DefaultParagraphFont"/>
    <w:uiPriority w:val="99"/>
    <w:unhideWhenUsed/>
    <w:rsid w:val="00822C32"/>
    <w:rPr>
      <w:color w:val="0563C1" w:themeColor="hyperlink"/>
      <w:u w:val="single"/>
    </w:rPr>
  </w:style>
  <w:style w:type="paragraph" w:styleId="NormalWeb">
    <w:name w:val="Normal (Web)"/>
    <w:basedOn w:val="Normal"/>
    <w:uiPriority w:val="99"/>
    <w:semiHidden/>
    <w:unhideWhenUsed/>
    <w:rsid w:val="00822C32"/>
    <w:pPr>
      <w:spacing w:before="100" w:beforeAutospacing="1" w:after="100" w:afterAutospacing="1"/>
    </w:pPr>
    <w:rPr>
      <w:rFonts w:ascii="Times New Roman" w:eastAsia="Times New Roman" w:hAnsi="Times New Roman" w:cs="Times New Roman"/>
      <w:sz w:val="24"/>
      <w:szCs w:val="24"/>
    </w:rPr>
  </w:style>
  <w:style w:type="paragraph" w:customStyle="1" w:styleId="b-qt">
    <w:name w:val="b-qt"/>
    <w:basedOn w:val="Normal"/>
    <w:rsid w:val="00822C32"/>
    <w:pPr>
      <w:spacing w:before="100" w:beforeAutospacing="1" w:after="100" w:afterAutospacing="1"/>
    </w:pPr>
    <w:rPr>
      <w:rFonts w:ascii="Times New Roman" w:eastAsia="Times New Roman" w:hAnsi="Times New Roman" w:cs="Times New Roman"/>
      <w:sz w:val="24"/>
      <w:szCs w:val="24"/>
    </w:rPr>
  </w:style>
  <w:style w:type="paragraph" w:customStyle="1" w:styleId="bqfqa">
    <w:name w:val="bq_fq_a"/>
    <w:basedOn w:val="Normal"/>
    <w:rsid w:val="00822C32"/>
    <w:pPr>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93B53"/>
    <w:pPr>
      <w:tabs>
        <w:tab w:val="center" w:pos="4680"/>
        <w:tab w:val="right" w:pos="9360"/>
      </w:tabs>
      <w:spacing w:after="0"/>
    </w:pPr>
  </w:style>
  <w:style w:type="character" w:customStyle="1" w:styleId="HeaderChar">
    <w:name w:val="Header Char"/>
    <w:basedOn w:val="DefaultParagraphFont"/>
    <w:link w:val="Header"/>
    <w:uiPriority w:val="99"/>
    <w:rsid w:val="00E93B53"/>
    <w:rPr>
      <w:sz w:val="26"/>
    </w:rPr>
  </w:style>
  <w:style w:type="paragraph" w:styleId="Footer">
    <w:name w:val="footer"/>
    <w:basedOn w:val="Normal"/>
    <w:link w:val="FooterChar"/>
    <w:uiPriority w:val="99"/>
    <w:unhideWhenUsed/>
    <w:qFormat/>
    <w:rsid w:val="00E93B53"/>
    <w:pPr>
      <w:tabs>
        <w:tab w:val="center" w:pos="4680"/>
        <w:tab w:val="right" w:pos="9360"/>
      </w:tabs>
      <w:spacing w:after="0"/>
    </w:pPr>
  </w:style>
  <w:style w:type="character" w:customStyle="1" w:styleId="FooterChar">
    <w:name w:val="Footer Char"/>
    <w:basedOn w:val="DefaultParagraphFont"/>
    <w:link w:val="Footer"/>
    <w:uiPriority w:val="99"/>
    <w:rsid w:val="00E93B53"/>
    <w:rPr>
      <w:sz w:val="26"/>
    </w:rPr>
  </w:style>
  <w:style w:type="paragraph" w:styleId="NoSpacing">
    <w:name w:val="No Spacing"/>
    <w:uiPriority w:val="1"/>
    <w:qFormat/>
    <w:rsid w:val="00E93B53"/>
    <w:pPr>
      <w:spacing w:after="0" w:line="240" w:lineRule="auto"/>
    </w:pPr>
    <w:rPr>
      <w:color w:val="44546A" w:themeColor="text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ag.dc.gov/what-hate" TargetMode="External"/><Relationship Id="rId13" Type="http://schemas.openxmlformats.org/officeDocument/2006/relationships/hyperlink" Target="https://www.psychologytoday.com/us/blog/anger-in-the-age-entitlement/202202/why-americans-are-frustrated-entitled-and-judgmental"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brainyquote.com/authors/saint-augustine-quotes" TargetMode="External"/><Relationship Id="rId12" Type="http://schemas.openxmlformats.org/officeDocument/2006/relationships/hyperlink" Target="https://www.psychologytoday.com/us/blog/nurturing-self-compassion/201703/the-psychology-hate" TargetMode="External"/><Relationship Id="rId17" Type="http://schemas.openxmlformats.org/officeDocument/2006/relationships/hyperlink" Target="https://theconversation.com/fear-more-than-hate-feeds-online-bigotry-and-real-world-violence-106988" TargetMode="External"/><Relationship Id="rId2" Type="http://schemas.openxmlformats.org/officeDocument/2006/relationships/styles" Target="styles.xml"/><Relationship Id="rId16" Type="http://schemas.openxmlformats.org/officeDocument/2006/relationships/hyperlink" Target="https://www.psychologytoday.com/us/blog/anger-in-the-age-entitlemen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arfarehistorynetwork.com/2018/12/21/southerner-vs-southerner-union-supporters-below-the-mason-dixon-line/" TargetMode="External"/><Relationship Id="rId5" Type="http://schemas.openxmlformats.org/officeDocument/2006/relationships/footnotes" Target="footnotes.xml"/><Relationship Id="rId15" Type="http://schemas.openxmlformats.org/officeDocument/2006/relationships/hyperlink" Target="https://www.psychologytoday.com/us/blog/anger-in-the-age-entitlement/202108/the-dynamics-anger-and-resentment" TargetMode="External"/><Relationship Id="rId10" Type="http://schemas.openxmlformats.org/officeDocument/2006/relationships/hyperlink" Target="https://www.nytimes.com/1995/02/05/books/the-elders-of-zion-in-tokyo.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rabnews.com/node/1906891/middle-east" TargetMode="External"/><Relationship Id="rId14" Type="http://schemas.openxmlformats.org/officeDocument/2006/relationships/hyperlink" Target="https://www.psychologytoday.com/us/blog/anger-in-the-age-entitlement/201708/anger-anxiety-resentment-stress-and-basic-human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3616</Words>
  <Characters>20614</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Earon Davis</dc:creator>
  <cp:keywords/>
  <dc:description/>
  <cp:lastModifiedBy>Earon Davis</cp:lastModifiedBy>
  <cp:revision>2</cp:revision>
  <dcterms:created xsi:type="dcterms:W3CDTF">2023-05-31T19:00:00Z</dcterms:created>
  <dcterms:modified xsi:type="dcterms:W3CDTF">2023-05-31T19:00:00Z</dcterms:modified>
</cp:coreProperties>
</file>